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horzAnchor="margin" w:tblpY="1092"/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49"/>
        <w:gridCol w:w="1418"/>
        <w:gridCol w:w="6237"/>
        <w:gridCol w:w="3827"/>
        <w:gridCol w:w="135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5" w:hRule="atLeast"/>
        </w:trPr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校领导</w:t>
            </w:r>
          </w:p>
        </w:tc>
        <w:tc>
          <w:tcPr>
            <w:tcW w:w="6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职能部门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听课安排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联系人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0" w:hRule="atLeast"/>
        </w:trPr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第一组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孙道胜</w:t>
            </w:r>
          </w:p>
        </w:tc>
        <w:tc>
          <w:tcPr>
            <w:tcW w:w="6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办公室、宣传部、学工部、工会、团委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机械与电气工程学院、马克思主义学院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张金宏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0" w:hRule="atLeast"/>
        </w:trPr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第二组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黄显怀</w:t>
            </w:r>
          </w:p>
        </w:tc>
        <w:tc>
          <w:tcPr>
            <w:tcW w:w="6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发展规划处、审计处、校友工作处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环境与能源工程学院、外国语学院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王琳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0" w:hRule="atLeast"/>
        </w:trPr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第三组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蔡新立</w:t>
            </w:r>
          </w:p>
        </w:tc>
        <w:tc>
          <w:tcPr>
            <w:tcW w:w="6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财务处、科学技术处、科技成果转化中心、后勤服务集团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经济与管理学院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、公共管理学院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周洁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0" w:hRule="atLeast"/>
        </w:trPr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第四组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王玉兰</w:t>
            </w:r>
          </w:p>
        </w:tc>
        <w:tc>
          <w:tcPr>
            <w:tcW w:w="6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纪委办公室、巡察工作领导小组办公室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材料与化学工程学院、数理学院</w:t>
            </w:r>
            <w:bookmarkStart w:id="0" w:name="_GoBack"/>
            <w:bookmarkEnd w:id="0"/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陆娟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0" w:hRule="atLeast"/>
        </w:trPr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第五组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闵杰</w:t>
            </w:r>
          </w:p>
        </w:tc>
        <w:tc>
          <w:tcPr>
            <w:tcW w:w="6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教务处、教师发展中心、国际交流合作处、就业工作处、实验室与设备管理处、继续教育学院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电子与信息工程学院、就业工作处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吴彦博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0" w:hRule="atLeast"/>
        </w:trPr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第六组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张亚新</w:t>
            </w:r>
          </w:p>
        </w:tc>
        <w:tc>
          <w:tcPr>
            <w:tcW w:w="6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组织部、人事处、产业管理处、国有资产管理处、招投标管理办公室、保卫处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建筑与规划学院、艺术学院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叶家珏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0" w:hRule="atLeast"/>
        </w:trPr>
        <w:tc>
          <w:tcPr>
            <w:tcW w:w="1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第七组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蔡国军</w:t>
            </w:r>
          </w:p>
        </w:tc>
        <w:tc>
          <w:tcPr>
            <w:tcW w:w="6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研究生院、图书馆、信息网络中心、档案馆、节能研究院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土木工程学院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陈晋</w:t>
            </w:r>
          </w:p>
        </w:tc>
      </w:tr>
    </w:tbl>
    <w:p>
      <w:pPr>
        <w:rPr>
          <w:rFonts w:hint="eastAsia" w:ascii="宋体" w:hAnsi="宋体" w:cs="宋体"/>
          <w:b/>
          <w:color w:val="000000"/>
          <w:kern w:val="0"/>
          <w:sz w:val="32"/>
          <w:szCs w:val="32"/>
          <w:lang w:bidi="ar"/>
        </w:rPr>
      </w:pPr>
      <w:r>
        <w:rPr>
          <w:rFonts w:hint="eastAsia" w:ascii="宋体" w:hAnsi="宋体" w:cs="宋体"/>
          <w:b/>
          <w:color w:val="000000"/>
          <w:kern w:val="0"/>
          <w:sz w:val="32"/>
          <w:szCs w:val="32"/>
          <w:lang w:bidi="ar"/>
        </w:rPr>
        <w:t>附件1：听课分组安排</w:t>
      </w:r>
    </w:p>
    <w:p/>
    <w:sectPr>
      <w:footerReference r:id="rId3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